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center"/>
        <w:rPr>
          <w:rFonts w:cs="Calibri"/>
          <w:b/>
          <w:bCs/>
          <w:lang w:bidi="ar-sa"/>
        </w:rPr>
      </w:pPr>
      <w:r>
        <w:rPr>
          <w:rFonts w:cs="Calibri"/>
          <w:b/>
          <w:bCs/>
          <w:lang w:bidi="ar-sa"/>
        </w:rPr>
        <w:t>KİŞİSEL VERİLERE İLİŞKİN MÜŞTERİ AÇIK RIZA METNİ</w:t>
      </w:r>
    </w:p>
    <w:p>
      <w:pPr>
        <w:spacing/>
        <w:jc w:val="both"/>
        <w:rPr>
          <w:rFonts w:cs="Calibri"/>
          <w:lang w:bidi="ar-sa"/>
        </w:rPr>
      </w:pPr>
      <w:r>
        <w:rPr>
          <w:rFonts w:cs="Calibri"/>
          <w:lang w:bidi="ar-sa"/>
        </w:rPr>
        <w:t>BKS KAZAN tarafından, 6698 sayılı Kişisel Verilerin Korunması Kanunu (“KVKK”) tahtında tarafıma sunulan Aydınlatma Metnini okudum ve anladım.</w:t>
      </w:r>
    </w:p>
    <w:p>
      <w:pPr>
        <w:spacing/>
        <w:jc w:val="both"/>
        <w:rPr>
          <w:rFonts w:cs="Calibri"/>
          <w:lang w:bidi="ar-sa"/>
        </w:rPr>
      </w:pPr>
      <w:r>
        <w:rPr>
          <w:rFonts w:cs="Calibri"/>
          <w:lang w:bidi="ar-sa"/>
        </w:rPr>
        <w:t xml:space="preserve">Kimlik, iletişim, pazarlama, müşteri işlem, alışveriş alışkanlıkları, mesleki bilgilerimin: </w:t>
      </w:r>
    </w:p>
    <w:p>
      <w:pPr>
        <w:numPr>
          <w:ilvl w:val="0"/>
          <w:numId w:val="1"/>
        </w:numPr>
        <w:ind w:left="1080" w:hanging="720"/>
        <w:spacing/>
        <w:jc w:val="both"/>
        <w:rPr>
          <w:rFonts w:cs="Calibri"/>
          <w:lang w:bidi="ar-sa"/>
        </w:rPr>
      </w:pPr>
      <w:r>
        <w:rPr>
          <w:rFonts w:cs="Calibri"/>
          <w:lang w:bidi="ar-sa"/>
        </w:rPr>
        <w:t xml:space="preserve">Ürünlere bağlılık süreçlerinin yürütülmesi kapsamında müşterilere sadakat programı çerçevesinde çeşitli avantajlar sağlanması ve bunlara ilişkin bilgilendirmede bulunulması amacıyla, </w:t>
      </w:r>
    </w:p>
    <w:p>
      <w:pPr>
        <w:numPr>
          <w:ilvl w:val="0"/>
          <w:numId w:val="1"/>
        </w:numPr>
        <w:ind w:left="1080" w:hanging="720"/>
        <w:spacing/>
        <w:jc w:val="both"/>
        <w:rPr>
          <w:rFonts w:cs="Calibri"/>
          <w:lang w:bidi="ar-sa"/>
        </w:rPr>
      </w:pPr>
      <w:r>
        <w:rPr>
          <w:rFonts w:cs="Calibri"/>
          <w:lang w:bidi="ar-sa"/>
        </w:rPr>
        <w:t xml:space="preserve">Ürün pazarlama süreçlerinin yürütülmesi kapsamında müşteri alışveriş alışkanlıkları ve eğilimleri analiz edilmesi ve müşterilere yönelik özelleştirilmiş teklif ve segmentasyon sağlanması, satın alınan ürünler üzerinden müşteri segmentasyonu (Tüketim alışkanlıklarını etkileyen kültürel ve yerel aidiyet bilgileri da dahil olmak üzere) ve diğer müşteri ilişkileri yönetimi (CRM) analizlerinin yapılması ve icrasının yönetimi amacıyla, </w:t>
      </w:r>
    </w:p>
    <w:p>
      <w:pPr>
        <w:numPr>
          <w:ilvl w:val="0"/>
          <w:numId w:val="1"/>
        </w:numPr>
        <w:ind w:left="1080" w:hanging="720"/>
        <w:spacing/>
        <w:jc w:val="both"/>
        <w:rPr>
          <w:rFonts w:cs="Calibri"/>
          <w:lang w:bidi="ar-sa"/>
        </w:rPr>
      </w:pPr>
      <w:r>
        <w:rPr>
          <w:rFonts w:cs="Calibri"/>
          <w:lang w:bidi="ar-sa"/>
        </w:rPr>
        <w:t xml:space="preserve"> Reklam/iletişim/promosyon süreçlerinin yürütülmesi ve bu kapsamda elektronik ticari iletilerin (telefon, SMS, MMS, e-posta(matbu) veya diğer şekillerde) gönderiminin sağlanması amacıyla, işlenip kaydedilmesini kabul ediyorum. </w:t>
      </w:r>
    </w:p>
    <w:p>
      <w:pPr>
        <w:spacing/>
        <w:jc w:val="both"/>
        <w:rPr>
          <w:rFonts w:cs="Calibri"/>
          <w:lang w:bidi="ar-sa"/>
        </w:rPr>
      </w:pPr>
      <w:r>
        <w:rPr>
          <w:rFonts w:cs="Calibri"/>
          <w:lang w:bidi="ar-sa"/>
        </w:rPr>
        <w:t>Müşteri’lere daha iyi hizmet verebilmek amacıyla ve Kanun ile ilgili mevzuattan kaynaklanan yasal yükümlülük çerçevesinde; iş bu metinde sayılanlarla sınırlı olmamak üzere söz konusu amaç ve yasal yükümlülüklerini yerine getirebilmeyi sağlayacak kişisel verilerimi (ad, soyad, doğum tarihi, cep telefonu numarası, e-posta, cinsiyet, adres, meslek, eğitim, medeni durum, tüm alışveriş bilgilerim, müşteri işlem bilgilerim sosyal medya hesaplarıyla bağlanılması durumunda o kanallar aracılığıyla paylaşılmasına onay verdiğim bilgiler, alışverişimdeki ürün bilgileri benden talep edilebilir ve bu verilerim yukarıdaki amaçlara uygun şekilde BKS KAZAN’ın sosyal medya mecralarında ya da web uygulamasında kaydedilebilir. Yine tamamlanamayan siparişlerimle ilgili olarak da verdiğim bilgiler siparişin tamamlanmasındaki hata ve eksikliklerin giderilebilmesi ve BKS KAZAN tarafından siparişi tamamlamak adına tarafıma yardımcı olunabilmesi amacıyla işlenebilecektir.</w:t>
      </w:r>
    </w:p>
    <w:p>
      <w:pPr>
        <w:spacing/>
        <w:jc w:val="both"/>
        <w:rPr>
          <w:rFonts w:cs="Calibri"/>
          <w:lang w:bidi="ar-sa"/>
        </w:rPr>
      </w:pPr>
      <w:r>
        <w:rPr>
          <w:rFonts w:cs="Calibri"/>
          <w:lang w:bidi="ar-sa"/>
        </w:rPr>
        <w:t>Yukarıda belirtilen amaçlarla BKS KAZAN’ın, kişisel verilerimi (özel nitelikli olan ve olmayan), açık rızama binaen yurt içinde veya yurt dışında; işbirliği yapılan ve/veya hizmet alınan şirketler ile (ödeme sistemleri şirketleri dahil olmak üzere), satış, pazarlama, müşteri ilişkileri, hukuk, muhasebe ve benzeri alanlarda destek alınan danışmanlık firmaları ile, BKS KAZAN’ın faaliyetleri ile ilgili satış, pazarlama ve yazılım hususlarında destek veren üçüncü kişiler ile (SMS ve e-posta gönderimi, CRM (Müşteri İlişkileri Yönetimi), reklam ve halkla ilişkiler ve bulut bilişim, yedekleme, yazılım desteği veren firmalar ve benzeri) paylaşabileceğini ve/veya bu kişilere erişme açabileceğini kabul ederim.</w:t>
      </w:r>
    </w:p>
    <w:sectPr>
      <w:footnotePr>
        <w:pos w:val="pageBottom"/>
        <w:numFmt w:val="decimal"/>
        <w:numStart w:val="1"/>
        <w:numRestart w:val="continuous"/>
      </w:footnotePr>
      <w:endnotePr>
        <w:pos w:val="docEnd"/>
        <w:numFmt w:val="lowerRoman"/>
        <w:numStart w:val="1"/>
        <w:numRestart w:val="continuous"/>
      </w:endnotePr>
      <w:type w:val="nextPage"/>
      <w:pgSz w:h="15840" w:w="12240"/>
      <w:pgMar w:left="1417" w:top="1417" w:right="1417" w:bottom="1417" w:header="0" w:footer="0"/>
      <w:paperSrc w:first="0" w:other="0" a="0" b="0"/>
      <w:pgNumType w:fmt="decimal"/>
      <w:tmGutter w:val="3"/>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font>
  <w:font w:name="Calibri">
    <w:panose1 w:val="020F0502020204030204"/>
    <w:charset w:val="a2"/>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aralandırılmış liste 1"/>
    <w:lvl w:ilvl="0">
      <w:start w:val="1"/>
      <w:numFmt w:val="decimal"/>
      <w:suff w:val="tab"/>
      <w:lvlText w:val="%1."/>
      <w:lvlJc w:val="left"/>
      <w:pPr>
        <w:ind w:left="360" w:hanging="0"/>
      </w:pPr>
      <w:rPr>
        <w:rStyle w:val="char0"/>
      </w:rPr>
    </w:lvl>
    <w:lvl w:ilvl="1">
      <w:start w:val="1"/>
      <w:numFmt w:val="lowerLetter"/>
      <w:suff w:val="tab"/>
      <w:lvlText w:val="%2."/>
      <w:lvlJc w:val="left"/>
      <w:pPr>
        <w:ind w:left="1080" w:hanging="0"/>
      </w:pPr>
      <w:rPr>
        <w:rStyle w:val="char0"/>
        <w:rFonts/>
      </w:rPr>
    </w:lvl>
    <w:lvl w:ilvl="2">
      <w:start w:val="1"/>
      <w:numFmt w:val="lowerRoman"/>
      <w:suff w:val="tab"/>
      <w:lvlText w:val="%3."/>
      <w:lvlJc w:val="right"/>
      <w:pPr>
        <w:ind w:left="1980" w:hanging="0"/>
      </w:pPr>
      <w:rPr>
        <w:rStyle w:val="char0"/>
        <w:rFonts/>
      </w:rPr>
    </w:lvl>
    <w:lvl w:ilvl="3">
      <w:start w:val="1"/>
      <w:numFmt w:val="decimal"/>
      <w:suff w:val="tab"/>
      <w:lvlText w:val="%4."/>
      <w:lvlJc w:val="left"/>
      <w:pPr>
        <w:ind w:left="2520" w:hanging="0"/>
      </w:pPr>
      <w:rPr>
        <w:rStyle w:val="char0"/>
        <w:rFonts/>
      </w:rPr>
    </w:lvl>
    <w:lvl w:ilvl="4">
      <w:start w:val="1"/>
      <w:numFmt w:val="lowerLetter"/>
      <w:suff w:val="tab"/>
      <w:lvlText w:val="%5."/>
      <w:lvlJc w:val="left"/>
      <w:pPr>
        <w:ind w:left="3240" w:hanging="0"/>
      </w:pPr>
      <w:rPr>
        <w:rStyle w:val="char0"/>
        <w:rFonts/>
      </w:rPr>
    </w:lvl>
    <w:lvl w:ilvl="5">
      <w:start w:val="1"/>
      <w:numFmt w:val="lowerRoman"/>
      <w:suff w:val="tab"/>
      <w:lvlText w:val="%6."/>
      <w:lvlJc w:val="right"/>
      <w:pPr>
        <w:ind w:left="4140" w:hanging="0"/>
      </w:pPr>
      <w:rPr>
        <w:rStyle w:val="char0"/>
        <w:rFonts/>
      </w:rPr>
    </w:lvl>
    <w:lvl w:ilvl="6">
      <w:start w:val="1"/>
      <w:numFmt w:val="decimal"/>
      <w:suff w:val="tab"/>
      <w:lvlText w:val="%7."/>
      <w:lvlJc w:val="left"/>
      <w:pPr>
        <w:ind w:left="4680" w:hanging="0"/>
      </w:pPr>
      <w:rPr>
        <w:rStyle w:val="char0"/>
        <w:rFonts/>
      </w:rPr>
    </w:lvl>
    <w:lvl w:ilvl="7">
      <w:start w:val="1"/>
      <w:numFmt w:val="lowerLetter"/>
      <w:suff w:val="tab"/>
      <w:lvlText w:val="%8."/>
      <w:lvlJc w:val="left"/>
      <w:pPr>
        <w:ind w:left="5400" w:hanging="0"/>
      </w:pPr>
      <w:rPr>
        <w:rStyle w:val="char0"/>
        <w:rFonts/>
      </w:rPr>
    </w:lvl>
    <w:lvl w:ilvl="8">
      <w:start w:val="1"/>
      <w:numFmt w:val="lowerRoman"/>
      <w:suff w:val="tab"/>
      <w:lvlText w:val="%9."/>
      <w:lvlJc w:val="right"/>
      <w:pPr>
        <w:ind w:left="6300" w:hanging="0"/>
      </w:pPr>
      <w:rPr>
        <w:rStyle w:val="char0"/>
        <w:rFont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lo" w:pos="below" w:numFmt="decimal"/>
    <w:caption w:name="Şekil" w:pos="below" w:numFmt="decimal"/>
    <w:caption w:name="Resim"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283"/>
  <w:tmCommentsPr>
    <w:tmCommentsPlace w:val="0"/>
    <w:tmCommentsWidth w:val="3119"/>
    <w:tmCommentsColor w:val="-1"/>
  </w:tmCommentsPr>
  <w:tmReviewPr>
    <w:tmReviewEnabled w:val="0"/>
    <w:tmReviewShow w:val="1"/>
    <w:tmReviewPrint w:val="0"/>
    <w:tmRevisionNum w:val="6"/>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0799" w:val="1234"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Times New Roman" w:cs="Times New Roman"/>
        <w:kern w:val="1"/>
        <w:sz w:val="22"/>
        <w:szCs w:val="22"/>
        <w:lang w:val="tr-tr" w:eastAsia="tr-tr" w:bidi="ar-sa"/>
      </w:rPr>
    </w:rPrDefault>
    <w:pPrDefault>
      <w:pPr>
        <w:spacing w:after="160" w:line="257"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character" w:styleId="char0" w:default="1">
    <w:name w:val="Default Paragraph Font"/>
  </w:style>
  <w:style w:type="table" w:default="1" w:styleId="TableNormal">
    <w:name w:val="Normal tablo"/>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Times New Roman" w:cs="Times New Roman"/>
        <w:kern w:val="1"/>
        <w:sz w:val="22"/>
        <w:szCs w:val="22"/>
        <w:lang w:val="tr-tr" w:eastAsia="tr-tr" w:bidi="ar-sa"/>
      </w:rPr>
    </w:rPrDefault>
    <w:pPrDefault>
      <w:pPr>
        <w:spacing w:after="160" w:line="257"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character" w:styleId="char0" w:default="1">
    <w:name w:val="Default Paragraph Font"/>
  </w:style>
  <w:style w:type="table" w:default="1" w:styleId="TableNormal">
    <w:name w:val="Normal tablo"/>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Ahmet Burak Gülen</cp:lastModifiedBy>
  <cp:revision>6</cp:revision>
  <dcterms:created xsi:type="dcterms:W3CDTF">2026-09-18T23:17:57Z</dcterms:created>
</cp:coreProperties>
</file>